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1CF3" w:rsidRDefault="00525B7D">
      <w:pPr>
        <w:jc w:val="center"/>
      </w:pPr>
      <w:r>
        <w:rPr>
          <w:noProof/>
        </w:rPr>
        <w:drawing>
          <wp:inline distT="0" distB="0" distL="0" distR="0">
            <wp:extent cx="731520" cy="922655"/>
            <wp:effectExtent l="0" t="0" r="0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1520" cy="9226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231CF3" w:rsidRDefault="00525B7D">
      <w:pPr>
        <w:jc w:val="center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231CF3" w:rsidRDefault="00525B7D">
      <w:pPr>
        <w:jc w:val="center"/>
      </w:pPr>
      <w:r>
        <w:rPr>
          <w:bCs/>
          <w:sz w:val="28"/>
          <w:szCs w:val="28"/>
        </w:rPr>
        <w:t>РОССИЙСКАЯ ФЕДЕРАЦИЯ</w:t>
      </w:r>
    </w:p>
    <w:p w:rsidR="00231CF3" w:rsidRDefault="00231CF3">
      <w:pPr>
        <w:jc w:val="center"/>
        <w:rPr>
          <w:bCs/>
          <w:sz w:val="28"/>
          <w:szCs w:val="28"/>
        </w:rPr>
      </w:pPr>
    </w:p>
    <w:p w:rsidR="00231CF3" w:rsidRDefault="00525B7D">
      <w:pPr>
        <w:jc w:val="center"/>
      </w:pPr>
      <w:r>
        <w:rPr>
          <w:bCs/>
          <w:sz w:val="28"/>
          <w:szCs w:val="28"/>
        </w:rPr>
        <w:t>ЧУКОТСКИЙ АВТОНОМНЫЙ ОКРУГ</w:t>
      </w:r>
    </w:p>
    <w:p w:rsidR="00231CF3" w:rsidRDefault="00231CF3">
      <w:pPr>
        <w:jc w:val="center"/>
        <w:rPr>
          <w:b/>
          <w:sz w:val="28"/>
          <w:szCs w:val="28"/>
        </w:rPr>
      </w:pPr>
    </w:p>
    <w:p w:rsidR="00231CF3" w:rsidRDefault="00525B7D">
      <w:pPr>
        <w:jc w:val="center"/>
      </w:pPr>
      <w:r>
        <w:rPr>
          <w:b/>
          <w:bCs/>
          <w:sz w:val="28"/>
          <w:szCs w:val="28"/>
        </w:rPr>
        <w:t>ЗАКОН</w:t>
      </w:r>
    </w:p>
    <w:p w:rsidR="00231CF3" w:rsidRDefault="00231CF3">
      <w:pPr>
        <w:jc w:val="center"/>
        <w:rPr>
          <w:sz w:val="28"/>
          <w:szCs w:val="28"/>
        </w:rPr>
      </w:pPr>
    </w:p>
    <w:p w:rsidR="00231CF3" w:rsidRDefault="00525B7D">
      <w:pPr>
        <w:jc w:val="center"/>
      </w:pPr>
      <w:r>
        <w:rPr>
          <w:b/>
          <w:sz w:val="28"/>
          <w:szCs w:val="28"/>
        </w:rPr>
        <w:t>«Об исполнении окружного бюджета за 2025 год»</w:t>
      </w:r>
    </w:p>
    <w:p w:rsidR="00231CF3" w:rsidRDefault="00231CF3">
      <w:pPr>
        <w:jc w:val="center"/>
        <w:rPr>
          <w:sz w:val="28"/>
          <w:szCs w:val="28"/>
        </w:rPr>
      </w:pPr>
    </w:p>
    <w:p w:rsidR="00231CF3" w:rsidRDefault="00231CF3">
      <w:pPr>
        <w:rPr>
          <w:sz w:val="28"/>
          <w:szCs w:val="28"/>
        </w:rPr>
      </w:pPr>
    </w:p>
    <w:p w:rsidR="00231CF3" w:rsidRDefault="00525B7D">
      <w:r>
        <w:rPr>
          <w:sz w:val="28"/>
          <w:szCs w:val="28"/>
        </w:rPr>
        <w:t xml:space="preserve">Принят Думой Чукотского </w:t>
      </w:r>
    </w:p>
    <w:p w:rsidR="00231CF3" w:rsidRDefault="00525B7D">
      <w:r>
        <w:rPr>
          <w:sz w:val="28"/>
          <w:szCs w:val="28"/>
        </w:rPr>
        <w:t xml:space="preserve">автономного округа </w:t>
      </w:r>
    </w:p>
    <w:p w:rsidR="00231CF3" w:rsidRDefault="00525B7D">
      <w:r>
        <w:rPr>
          <w:sz w:val="28"/>
          <w:szCs w:val="28"/>
        </w:rPr>
        <w:t>21 мая 2026 года</w:t>
      </w:r>
    </w:p>
    <w:p w:rsidR="00231CF3" w:rsidRDefault="00231CF3">
      <w:pPr>
        <w:rPr>
          <w:sz w:val="28"/>
          <w:szCs w:val="28"/>
        </w:rPr>
      </w:pPr>
    </w:p>
    <w:p w:rsidR="00231CF3" w:rsidRDefault="00231CF3">
      <w:pPr>
        <w:rPr>
          <w:sz w:val="28"/>
          <w:szCs w:val="28"/>
        </w:rPr>
      </w:pPr>
    </w:p>
    <w:p w:rsidR="00231CF3" w:rsidRDefault="00525B7D">
      <w:pPr>
        <w:ind w:firstLine="850"/>
      </w:pPr>
      <w:r>
        <w:rPr>
          <w:b/>
          <w:bCs/>
          <w:sz w:val="28"/>
          <w:szCs w:val="28"/>
        </w:rPr>
        <w:t>Статья 1</w:t>
      </w:r>
    </w:p>
    <w:p w:rsidR="00231CF3" w:rsidRDefault="00231CF3">
      <w:pPr>
        <w:ind w:firstLine="850"/>
        <w:rPr>
          <w:sz w:val="28"/>
          <w:szCs w:val="28"/>
        </w:rPr>
      </w:pPr>
    </w:p>
    <w:p w:rsidR="00231CF3" w:rsidRDefault="00525B7D" w:rsidP="00525B7D">
      <w:pPr>
        <w:tabs>
          <w:tab w:val="left" w:pos="993"/>
        </w:tabs>
        <w:ind w:firstLine="709"/>
        <w:jc w:val="both"/>
      </w:pPr>
      <w:r>
        <w:rPr>
          <w:bCs/>
          <w:sz w:val="28"/>
          <w:szCs w:val="28"/>
        </w:rPr>
        <w:t xml:space="preserve">1. Утвердить отчет об исполнении окружного бюджета за 2025 год, в </w:t>
      </w:r>
      <w:r>
        <w:rPr>
          <w:bCs/>
          <w:sz w:val="28"/>
          <w:szCs w:val="28"/>
        </w:rPr>
        <w:t>том числе:</w:t>
      </w:r>
    </w:p>
    <w:p w:rsidR="00231CF3" w:rsidRDefault="00525B7D" w:rsidP="00525B7D">
      <w:pPr>
        <w:tabs>
          <w:tab w:val="left" w:pos="993"/>
        </w:tabs>
        <w:ind w:firstLine="709"/>
        <w:jc w:val="both"/>
      </w:pPr>
      <w:r>
        <w:rPr>
          <w:bCs/>
          <w:sz w:val="28"/>
          <w:szCs w:val="28"/>
        </w:rPr>
        <w:t>Исполнение окружного бюджета по доходам в сумме 68 312 731,1 тыс. рублей и расходам в сумме 68 482 811,4 тыс. рублей с превышением расходов над доходами (дефицит окружного бюджета) в сумме 170 080,3 тыс. рублей.</w:t>
      </w:r>
    </w:p>
    <w:p w:rsidR="00231CF3" w:rsidRDefault="00525B7D" w:rsidP="00525B7D">
      <w:pPr>
        <w:tabs>
          <w:tab w:val="left" w:pos="993"/>
        </w:tabs>
        <w:ind w:firstLine="709"/>
        <w:jc w:val="both"/>
      </w:pPr>
      <w:r>
        <w:rPr>
          <w:bCs/>
          <w:sz w:val="28"/>
          <w:szCs w:val="28"/>
        </w:rPr>
        <w:t>2. Утвердить исполнение окружного</w:t>
      </w:r>
      <w:r>
        <w:rPr>
          <w:bCs/>
          <w:sz w:val="28"/>
          <w:szCs w:val="28"/>
        </w:rPr>
        <w:t xml:space="preserve"> бюджета за 2025 год со следующими показателями:</w:t>
      </w:r>
    </w:p>
    <w:p w:rsidR="00231CF3" w:rsidRDefault="00525B7D" w:rsidP="00525B7D">
      <w:pPr>
        <w:tabs>
          <w:tab w:val="left" w:pos="993"/>
        </w:tabs>
        <w:ind w:firstLine="709"/>
        <w:jc w:val="both"/>
      </w:pPr>
      <w:r>
        <w:rPr>
          <w:bCs/>
          <w:sz w:val="28"/>
          <w:szCs w:val="28"/>
        </w:rPr>
        <w:t>доходов окружного бюджета по кодам классификации доходов бюджетов согласно приложению 1 к настоящему Закону;</w:t>
      </w:r>
    </w:p>
    <w:p w:rsidR="00231CF3" w:rsidRDefault="00525B7D" w:rsidP="00525B7D">
      <w:pPr>
        <w:tabs>
          <w:tab w:val="left" w:pos="993"/>
        </w:tabs>
        <w:ind w:firstLine="709"/>
        <w:jc w:val="both"/>
      </w:pPr>
      <w:r>
        <w:rPr>
          <w:bCs/>
          <w:sz w:val="28"/>
          <w:szCs w:val="28"/>
        </w:rPr>
        <w:t xml:space="preserve">расходов окружного бюджета по ведомственной структуре расходов согласно приложению 2 к настоящему </w:t>
      </w:r>
      <w:r>
        <w:rPr>
          <w:bCs/>
          <w:sz w:val="28"/>
          <w:szCs w:val="28"/>
        </w:rPr>
        <w:t>Закону;</w:t>
      </w:r>
    </w:p>
    <w:p w:rsidR="00231CF3" w:rsidRDefault="00525B7D" w:rsidP="00525B7D">
      <w:pPr>
        <w:tabs>
          <w:tab w:val="left" w:pos="993"/>
        </w:tabs>
        <w:ind w:firstLine="709"/>
        <w:jc w:val="both"/>
      </w:pPr>
      <w:r>
        <w:rPr>
          <w:bCs/>
          <w:sz w:val="28"/>
          <w:szCs w:val="28"/>
        </w:rPr>
        <w:t>расходов окружного бюджета по разделам, подразделам, целевым статьям (государственным программам Чукотского автономного округа и непрограммным направлениям деятельности), группам видов расходов классификации расходов согласно приложению 3 к настоящ</w:t>
      </w:r>
      <w:r>
        <w:rPr>
          <w:bCs/>
          <w:sz w:val="28"/>
          <w:szCs w:val="28"/>
        </w:rPr>
        <w:t>ему Закону;</w:t>
      </w:r>
    </w:p>
    <w:p w:rsidR="00231CF3" w:rsidRDefault="00525B7D" w:rsidP="00525B7D">
      <w:pPr>
        <w:tabs>
          <w:tab w:val="left" w:pos="993"/>
        </w:tabs>
        <w:ind w:firstLine="709"/>
        <w:jc w:val="both"/>
      </w:pPr>
      <w:r>
        <w:rPr>
          <w:bCs/>
          <w:sz w:val="28"/>
          <w:szCs w:val="28"/>
        </w:rPr>
        <w:t>расходов окружного бюджета по целевым статьям (государственным программам Чукотского автономного округа и непрограммным направлениям деятельности), группам видов расходов, разделам, подразделам классификации расходов согласно приложению 4 к нас</w:t>
      </w:r>
      <w:r>
        <w:rPr>
          <w:bCs/>
          <w:sz w:val="28"/>
          <w:szCs w:val="28"/>
        </w:rPr>
        <w:t>тоящему Закону;</w:t>
      </w:r>
    </w:p>
    <w:p w:rsidR="00231CF3" w:rsidRDefault="00525B7D" w:rsidP="00525B7D">
      <w:pPr>
        <w:tabs>
          <w:tab w:val="left" w:pos="993"/>
        </w:tabs>
        <w:ind w:firstLine="709"/>
        <w:jc w:val="both"/>
      </w:pPr>
      <w:r>
        <w:rPr>
          <w:bCs/>
          <w:sz w:val="28"/>
          <w:szCs w:val="28"/>
        </w:rPr>
        <w:t>государственной поддержки семьи и детей согласно приложению 5 к настоящему Закону;</w:t>
      </w:r>
    </w:p>
    <w:p w:rsidR="00231CF3" w:rsidRDefault="00525B7D" w:rsidP="00525B7D">
      <w:pPr>
        <w:tabs>
          <w:tab w:val="left" w:pos="993"/>
        </w:tabs>
        <w:ind w:firstLine="709"/>
        <w:jc w:val="both"/>
      </w:pPr>
      <w:r>
        <w:rPr>
          <w:bCs/>
          <w:sz w:val="28"/>
          <w:szCs w:val="28"/>
        </w:rPr>
        <w:t>межбюджетных трансфертов, предоставляемых бюджетам муниципальных образований округа, согласно приложениям 6-10 к настоящему Закону;</w:t>
      </w:r>
    </w:p>
    <w:p w:rsidR="00231CF3" w:rsidRDefault="00525B7D" w:rsidP="00525B7D">
      <w:pPr>
        <w:ind w:firstLine="709"/>
        <w:jc w:val="both"/>
      </w:pPr>
      <w:r>
        <w:rPr>
          <w:bCs/>
          <w:sz w:val="28"/>
          <w:szCs w:val="28"/>
        </w:rPr>
        <w:lastRenderedPageBreak/>
        <w:t xml:space="preserve">программе предоставления </w:t>
      </w:r>
      <w:r>
        <w:rPr>
          <w:bCs/>
          <w:sz w:val="28"/>
          <w:szCs w:val="28"/>
        </w:rPr>
        <w:t>бюджетных кредитов согласно приложению 11 к настоящему Закону;</w:t>
      </w:r>
    </w:p>
    <w:p w:rsidR="00231CF3" w:rsidRDefault="00525B7D" w:rsidP="00525B7D">
      <w:pPr>
        <w:ind w:firstLine="709"/>
        <w:jc w:val="both"/>
      </w:pPr>
      <w:r>
        <w:rPr>
          <w:bCs/>
          <w:sz w:val="28"/>
          <w:szCs w:val="28"/>
        </w:rPr>
        <w:t>программе государственных внутренних заимствований Чукотского автономного округа согласно приложению 12 к настоящему Закону;</w:t>
      </w:r>
    </w:p>
    <w:p w:rsidR="00231CF3" w:rsidRDefault="00525B7D" w:rsidP="00525B7D">
      <w:pPr>
        <w:ind w:firstLine="709"/>
        <w:jc w:val="both"/>
      </w:pPr>
      <w:r>
        <w:rPr>
          <w:bCs/>
          <w:sz w:val="28"/>
          <w:szCs w:val="28"/>
        </w:rPr>
        <w:t>программе государственных гарантий Чукотского автономного округа сог</w:t>
      </w:r>
      <w:r>
        <w:rPr>
          <w:bCs/>
          <w:sz w:val="28"/>
          <w:szCs w:val="28"/>
        </w:rPr>
        <w:t>ласно приложению 13 к настоящему Закону;</w:t>
      </w:r>
    </w:p>
    <w:p w:rsidR="00231CF3" w:rsidRDefault="00525B7D" w:rsidP="00525B7D">
      <w:pPr>
        <w:ind w:firstLine="709"/>
        <w:jc w:val="both"/>
      </w:pPr>
      <w:r>
        <w:rPr>
          <w:bCs/>
          <w:sz w:val="28"/>
          <w:szCs w:val="28"/>
        </w:rPr>
        <w:t>источников внутреннего финансирования дефицита окружного бюджета согласно приложению 14 к настоящему Закону.</w:t>
      </w:r>
    </w:p>
    <w:p w:rsidR="00231CF3" w:rsidRDefault="00231CF3" w:rsidP="00525B7D">
      <w:pPr>
        <w:ind w:firstLine="709"/>
        <w:jc w:val="both"/>
        <w:rPr>
          <w:bCs/>
          <w:sz w:val="28"/>
          <w:szCs w:val="28"/>
          <w:highlight w:val="yellow"/>
        </w:rPr>
      </w:pPr>
    </w:p>
    <w:p w:rsidR="00231CF3" w:rsidRDefault="00525B7D" w:rsidP="00525B7D">
      <w:pPr>
        <w:ind w:firstLine="709"/>
        <w:jc w:val="both"/>
      </w:pPr>
      <w:r>
        <w:rPr>
          <w:b/>
          <w:bCs/>
          <w:sz w:val="28"/>
          <w:szCs w:val="28"/>
        </w:rPr>
        <w:t>Статья 2</w:t>
      </w:r>
    </w:p>
    <w:p w:rsidR="00231CF3" w:rsidRDefault="00231CF3" w:rsidP="00525B7D">
      <w:pPr>
        <w:ind w:firstLine="709"/>
        <w:jc w:val="both"/>
        <w:rPr>
          <w:sz w:val="28"/>
          <w:szCs w:val="28"/>
        </w:rPr>
      </w:pPr>
    </w:p>
    <w:p w:rsidR="00231CF3" w:rsidRDefault="00525B7D" w:rsidP="00525B7D">
      <w:pPr>
        <w:ind w:firstLine="709"/>
        <w:jc w:val="both"/>
      </w:pPr>
      <w:r>
        <w:rPr>
          <w:bCs/>
          <w:sz w:val="28"/>
          <w:szCs w:val="28"/>
        </w:rPr>
        <w:t>Настоящий Закон вступает в силу со дня его официального опубликования.</w:t>
      </w:r>
    </w:p>
    <w:p w:rsidR="00231CF3" w:rsidRDefault="00231CF3">
      <w:pPr>
        <w:jc w:val="both"/>
        <w:rPr>
          <w:sz w:val="28"/>
          <w:szCs w:val="28"/>
        </w:rPr>
      </w:pPr>
    </w:p>
    <w:p w:rsidR="00231CF3" w:rsidRDefault="00231CF3">
      <w:pPr>
        <w:pStyle w:val="consplusnormal0"/>
        <w:ind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31CF3" w:rsidRDefault="00231CF3">
      <w:pPr>
        <w:pStyle w:val="consplusnormal0"/>
        <w:ind w:firstLine="0"/>
        <w:jc w:val="both"/>
        <w:rPr>
          <w:rFonts w:ascii="Times New Roman" w:hAnsi="Times New Roman"/>
          <w:sz w:val="28"/>
        </w:rPr>
      </w:pPr>
    </w:p>
    <w:p w:rsidR="00231CF3" w:rsidRDefault="00525B7D">
      <w:pPr>
        <w:jc w:val="both"/>
      </w:pPr>
      <w:r>
        <w:rPr>
          <w:sz w:val="28"/>
          <w:szCs w:val="28"/>
        </w:rPr>
        <w:t>Губернатор Чукотского</w:t>
      </w:r>
    </w:p>
    <w:p w:rsidR="00231CF3" w:rsidRDefault="00525B7D">
      <w:pPr>
        <w:tabs>
          <w:tab w:val="left" w:pos="2340"/>
          <w:tab w:val="left" w:pos="3780"/>
          <w:tab w:val="left" w:pos="5220"/>
        </w:tabs>
        <w:jc w:val="both"/>
      </w:pPr>
      <w:r>
        <w:rPr>
          <w:sz w:val="28"/>
          <w:szCs w:val="28"/>
        </w:rPr>
        <w:t>автономного округа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</w:t>
      </w:r>
      <w:r>
        <w:rPr>
          <w:sz w:val="28"/>
        </w:rPr>
        <w:t>В.Г. Кузнецов</w:t>
      </w:r>
    </w:p>
    <w:p w:rsidR="00231CF3" w:rsidRDefault="00231CF3">
      <w:pPr>
        <w:jc w:val="both"/>
        <w:rPr>
          <w:sz w:val="28"/>
          <w:szCs w:val="28"/>
        </w:rPr>
      </w:pPr>
    </w:p>
    <w:p w:rsidR="00231CF3" w:rsidRDefault="00231CF3">
      <w:pPr>
        <w:jc w:val="both"/>
        <w:rPr>
          <w:sz w:val="28"/>
          <w:szCs w:val="28"/>
        </w:rPr>
      </w:pPr>
    </w:p>
    <w:p w:rsidR="00231CF3" w:rsidRDefault="00525B7D">
      <w:pPr>
        <w:jc w:val="both"/>
      </w:pPr>
      <w:r>
        <w:rPr>
          <w:sz w:val="28"/>
          <w:szCs w:val="28"/>
        </w:rPr>
        <w:t>г. Анадырь</w:t>
      </w:r>
    </w:p>
    <w:p w:rsidR="00231CF3" w:rsidRDefault="00231CF3">
      <w:pPr>
        <w:jc w:val="both"/>
        <w:rPr>
          <w:sz w:val="28"/>
          <w:szCs w:val="28"/>
        </w:rPr>
      </w:pPr>
    </w:p>
    <w:p w:rsidR="00231CF3" w:rsidRDefault="00525B7D">
      <w:pPr>
        <w:jc w:val="both"/>
      </w:pPr>
      <w:r>
        <w:rPr>
          <w:sz w:val="28"/>
          <w:szCs w:val="28"/>
        </w:rPr>
        <w:t>«29» мая</w:t>
      </w:r>
      <w:r>
        <w:rPr>
          <w:sz w:val="28"/>
          <w:szCs w:val="28"/>
        </w:rPr>
        <w:t xml:space="preserve"> 2026 года</w:t>
      </w:r>
    </w:p>
    <w:p w:rsidR="00231CF3" w:rsidRDefault="00231CF3">
      <w:pPr>
        <w:jc w:val="both"/>
        <w:rPr>
          <w:sz w:val="28"/>
          <w:szCs w:val="28"/>
        </w:rPr>
      </w:pPr>
    </w:p>
    <w:p w:rsidR="00231CF3" w:rsidRDefault="00525B7D">
      <w:pPr>
        <w:jc w:val="both"/>
      </w:pPr>
      <w:r>
        <w:rPr>
          <w:sz w:val="28"/>
          <w:szCs w:val="28"/>
        </w:rPr>
        <w:t>№ 45</w:t>
      </w:r>
      <w:bookmarkStart w:id="0" w:name="_GoBack"/>
      <w:bookmarkEnd w:id="0"/>
      <w:r>
        <w:rPr>
          <w:sz w:val="28"/>
          <w:szCs w:val="28"/>
        </w:rPr>
        <w:t xml:space="preserve"> - ОЗ</w:t>
      </w:r>
    </w:p>
    <w:sectPr w:rsidR="00231CF3">
      <w:headerReference w:type="even" r:id="rId7"/>
      <w:headerReference w:type="default" r:id="rId8"/>
      <w:footerReference w:type="even" r:id="rId9"/>
      <w:headerReference w:type="first" r:id="rId10"/>
      <w:pgSz w:w="11906" w:h="16838"/>
      <w:pgMar w:top="1049" w:right="850" w:bottom="709" w:left="1417" w:header="765" w:footer="0" w:gutter="0"/>
      <w:pgNumType w:start="1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000" w:rsidRDefault="00525B7D">
      <w:r>
        <w:separator/>
      </w:r>
    </w:p>
  </w:endnote>
  <w:endnote w:type="continuationSeparator" w:id="0">
    <w:p w:rsidR="00000000" w:rsidRDefault="00525B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31CF3" w:rsidRDefault="00525B7D">
    <w:pPr>
      <w:pStyle w:val="a8"/>
      <w:ind w:right="360"/>
    </w:pPr>
    <w:r>
      <w:rPr>
        <w:noProof/>
      </w:rPr>
      <mc:AlternateContent>
        <mc:Choice Requires="wps">
          <w:drawing>
            <wp:anchor distT="0" distB="0" distL="0" distR="0" simplePos="0" relativeHeight="4" behindDoc="1" locked="0" layoutInCell="0" allowOverlap="1">
              <wp:simplePos x="0" y="0"/>
              <wp:positionH relativeFrom="margin">
                <wp:align>right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2" name="Врезка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760" cy="147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231CF3" w:rsidRDefault="00525B7D">
                          <w:pPr>
                            <w:pStyle w:val="a8"/>
                            <w:rPr>
                              <w:rStyle w:val="a9"/>
                            </w:rPr>
                          </w:pPr>
                          <w:r>
                            <w:rPr>
                              <w:rStyle w:val="a9"/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rStyle w:val="a9"/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rStyle w:val="a9"/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rStyle w:val="a9"/>
                              <w:color w:val="000000"/>
                            </w:rPr>
                            <w:t>0</w:t>
                          </w:r>
                          <w:r>
                            <w:rPr>
                              <w:rStyle w:val="a9"/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Врезка1" o:spid="_x0000_s1026" style="position:absolute;margin-left:-50.05pt;margin-top:.05pt;width:1.15pt;height:1.15pt;z-index:-503316476;visibility:visible;mso-wrap-style:square;mso-wrap-distance-left:0;mso-wrap-distance-top:0;mso-wrap-distance-right:0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" o:allowincell="f" filled="f" stroked="f" strokeweight="0">
              <v:textbox style="mso-fit-shape-to-text:t" inset="0,0,0,0">
                <w:txbxContent>
                  <w:p w:rsidR="00231CF3" w:rsidRDefault="00525B7D">
                    <w:pPr>
                      <w:pStyle w:val="a8"/>
                      <w:rPr>
                        <w:rStyle w:val="a9"/>
                      </w:rPr>
                    </w:pPr>
                    <w:r>
                      <w:rPr>
                        <w:rStyle w:val="a9"/>
                        <w:color w:val="000000"/>
                      </w:rPr>
                      <w:fldChar w:fldCharType="begin"/>
                    </w:r>
                    <w:r>
                      <w:rPr>
                        <w:rStyle w:val="a9"/>
                        <w:color w:val="000000"/>
                      </w:rPr>
                      <w:instrText xml:space="preserve"> PAGE </w:instrText>
                    </w:r>
                    <w:r>
                      <w:rPr>
                        <w:rStyle w:val="a9"/>
                        <w:color w:val="000000"/>
                      </w:rPr>
                      <w:fldChar w:fldCharType="separate"/>
                    </w:r>
                    <w:r>
                      <w:rPr>
                        <w:rStyle w:val="a9"/>
                        <w:color w:val="000000"/>
                      </w:rPr>
                      <w:t>0</w:t>
                    </w:r>
                    <w:r>
                      <w:rPr>
                        <w:rStyle w:val="a9"/>
                        <w:color w:val="000000"/>
                      </w:rPr>
                      <w:fldChar w:fldCharType="end"/>
                    </w:r>
                  </w:p>
                </w:txbxContent>
              </v:textbox>
              <w10:wrap type="square" anchorx="margin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0000" w:rsidRDefault="00525B7D">
      <w:r>
        <w:separator/>
      </w:r>
    </w:p>
  </w:footnote>
  <w:footnote w:type="continuationSeparator" w:id="0">
    <w:p w:rsidR="00000000" w:rsidRDefault="00525B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31CF3" w:rsidRDefault="00231CF3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31CF3" w:rsidRDefault="00525B7D">
    <w:pPr>
      <w:pStyle w:val="a6"/>
      <w:jc w:val="center"/>
    </w:pP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2</w:t>
    </w:r>
    <w:r>
      <w:fldChar w:fldCharType="end"/>
    </w:r>
  </w:p>
  <w:p w:rsidR="00231CF3" w:rsidRDefault="00231CF3">
    <w:pPr>
      <w:pStyle w:val="a6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31CF3" w:rsidRDefault="00231CF3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1CF3"/>
    <w:rsid w:val="00231CF3"/>
    <w:rsid w:val="00525B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872D46"/>
  <w15:docId w15:val="{FD70BE0D-6C81-4381-9895-99C6D08188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5760"/>
    <w:rPr>
      <w:rFonts w:ascii="Times New Roman" w:eastAsia="Times New Roman" w:hAnsi="Times New Roman"/>
      <w:sz w:val="24"/>
      <w:szCs w:val="24"/>
    </w:rPr>
  </w:style>
  <w:style w:type="paragraph" w:styleId="2">
    <w:name w:val="heading 2"/>
    <w:basedOn w:val="a"/>
    <w:next w:val="a"/>
    <w:link w:val="20"/>
    <w:unhideWhenUsed/>
    <w:qFormat/>
    <w:locked/>
    <w:rsid w:val="00B158B9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link w:val="a4"/>
    <w:uiPriority w:val="99"/>
    <w:semiHidden/>
    <w:qFormat/>
    <w:locked/>
    <w:rsid w:val="00085760"/>
    <w:rPr>
      <w:rFonts w:ascii="Tahoma" w:hAnsi="Tahoma" w:cs="Tahoma"/>
      <w:sz w:val="16"/>
      <w:szCs w:val="16"/>
      <w:lang w:eastAsia="ru-RU"/>
    </w:rPr>
  </w:style>
  <w:style w:type="character" w:customStyle="1" w:styleId="a5">
    <w:name w:val="Верхний колонтитул Знак"/>
    <w:basedOn w:val="a0"/>
    <w:link w:val="a6"/>
    <w:uiPriority w:val="99"/>
    <w:qFormat/>
    <w:locked/>
    <w:rsid w:val="00F422D4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a7">
    <w:name w:val="Нижний колонтитул Знак"/>
    <w:basedOn w:val="a0"/>
    <w:link w:val="a8"/>
    <w:uiPriority w:val="99"/>
    <w:qFormat/>
    <w:locked/>
    <w:rsid w:val="00F422D4"/>
    <w:rPr>
      <w:rFonts w:ascii="Times New Roman" w:hAnsi="Times New Roman" w:cs="Times New Roman"/>
      <w:sz w:val="24"/>
      <w:szCs w:val="24"/>
      <w:lang w:eastAsia="ru-RU"/>
    </w:rPr>
  </w:style>
  <w:style w:type="character" w:styleId="a9">
    <w:name w:val="page number"/>
    <w:basedOn w:val="a0"/>
    <w:uiPriority w:val="99"/>
    <w:rsid w:val="001F170C"/>
    <w:rPr>
      <w:rFonts w:cs="Times New Roman"/>
    </w:rPr>
  </w:style>
  <w:style w:type="character" w:customStyle="1" w:styleId="20">
    <w:name w:val="Заголовок 2 Знак"/>
    <w:basedOn w:val="a0"/>
    <w:link w:val="2"/>
    <w:qFormat/>
    <w:rsid w:val="00B158B9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consplusnormal">
    <w:name w:val="consplusnormal Знак"/>
    <w:link w:val="consplusnormal0"/>
    <w:qFormat/>
    <w:locked/>
    <w:rsid w:val="00327CD0"/>
    <w:rPr>
      <w:rFonts w:ascii="Arial" w:hAnsi="Arial" w:cs="Arial"/>
    </w:rPr>
  </w:style>
  <w:style w:type="paragraph" w:styleId="aa">
    <w:name w:val="Title"/>
    <w:basedOn w:val="a"/>
    <w:next w:val="ab"/>
    <w:qFormat/>
    <w:pPr>
      <w:keepNext/>
      <w:spacing w:before="240" w:after="120"/>
    </w:pPr>
    <w:rPr>
      <w:rFonts w:eastAsia="Tahoma" w:cs="Nirmala UI"/>
      <w:sz w:val="28"/>
      <w:szCs w:val="28"/>
    </w:rPr>
  </w:style>
  <w:style w:type="paragraph" w:styleId="ab">
    <w:name w:val="Body Text"/>
    <w:basedOn w:val="a"/>
    <w:pPr>
      <w:spacing w:after="140" w:line="276" w:lineRule="auto"/>
    </w:pPr>
  </w:style>
  <w:style w:type="paragraph" w:styleId="ac">
    <w:name w:val="List"/>
    <w:basedOn w:val="ab"/>
    <w:rPr>
      <w:rFonts w:cs="Nirmala UI"/>
    </w:rPr>
  </w:style>
  <w:style w:type="paragraph" w:styleId="ad">
    <w:name w:val="caption"/>
    <w:basedOn w:val="a"/>
    <w:qFormat/>
    <w:pPr>
      <w:suppressLineNumbers/>
      <w:spacing w:before="120" w:after="120"/>
    </w:pPr>
    <w:rPr>
      <w:rFonts w:cs="Nirmala UI"/>
      <w:i/>
      <w:iCs/>
    </w:rPr>
  </w:style>
  <w:style w:type="paragraph" w:styleId="ae">
    <w:name w:val="index heading"/>
    <w:basedOn w:val="a"/>
    <w:qFormat/>
    <w:pPr>
      <w:suppressLineNumbers/>
    </w:pPr>
    <w:rPr>
      <w:rFonts w:cs="Nirmala UI"/>
    </w:rPr>
  </w:style>
  <w:style w:type="paragraph" w:customStyle="1" w:styleId="user">
    <w:name w:val="Заголовок (user)"/>
    <w:basedOn w:val="a"/>
    <w:next w:val="ab"/>
    <w:qFormat/>
    <w:pPr>
      <w:keepNext/>
      <w:spacing w:before="240" w:after="120"/>
    </w:pPr>
    <w:rPr>
      <w:rFonts w:eastAsia="Tahoma" w:cs="Nirmala UI"/>
      <w:sz w:val="28"/>
      <w:szCs w:val="28"/>
    </w:rPr>
  </w:style>
  <w:style w:type="paragraph" w:customStyle="1" w:styleId="user0">
    <w:name w:val="Указатель (user)"/>
    <w:basedOn w:val="a"/>
    <w:qFormat/>
    <w:pPr>
      <w:suppressLineNumbers/>
    </w:pPr>
    <w:rPr>
      <w:rFonts w:cs="Nirmala UI"/>
    </w:rPr>
  </w:style>
  <w:style w:type="paragraph" w:styleId="a4">
    <w:name w:val="Balloon Text"/>
    <w:basedOn w:val="a"/>
    <w:link w:val="a3"/>
    <w:uiPriority w:val="99"/>
    <w:semiHidden/>
    <w:qFormat/>
    <w:rsid w:val="00085760"/>
    <w:rPr>
      <w:rFonts w:ascii="Tahoma" w:hAnsi="Tahoma" w:cs="Tahoma"/>
      <w:sz w:val="16"/>
      <w:szCs w:val="16"/>
    </w:rPr>
  </w:style>
  <w:style w:type="paragraph" w:customStyle="1" w:styleId="HeaderandFooter">
    <w:name w:val="Header and Footer"/>
    <w:basedOn w:val="a"/>
    <w:qFormat/>
  </w:style>
  <w:style w:type="paragraph" w:styleId="a6">
    <w:name w:val="header"/>
    <w:basedOn w:val="a"/>
    <w:link w:val="a5"/>
    <w:uiPriority w:val="99"/>
    <w:rsid w:val="00F422D4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7"/>
    <w:uiPriority w:val="99"/>
    <w:rsid w:val="00F422D4"/>
    <w:pPr>
      <w:tabs>
        <w:tab w:val="center" w:pos="4677"/>
        <w:tab w:val="right" w:pos="9355"/>
      </w:tabs>
    </w:pPr>
  </w:style>
  <w:style w:type="paragraph" w:customStyle="1" w:styleId="af">
    <w:name w:val="Знак Знак Знак"/>
    <w:basedOn w:val="a"/>
    <w:qFormat/>
    <w:rsid w:val="00327CD0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onsplusnormal0">
    <w:name w:val="consplusnormal"/>
    <w:basedOn w:val="a"/>
    <w:link w:val="consplusnormal"/>
    <w:qFormat/>
    <w:rsid w:val="00327CD0"/>
    <w:pPr>
      <w:ind w:firstLine="720"/>
    </w:pPr>
    <w:rPr>
      <w:rFonts w:ascii="Arial" w:eastAsia="Calibri" w:hAnsi="Arial" w:cs="Arial"/>
      <w:sz w:val="22"/>
      <w:szCs w:val="22"/>
    </w:rPr>
  </w:style>
  <w:style w:type="paragraph" w:customStyle="1" w:styleId="af0">
    <w:name w:val="Содержимое врезки"/>
    <w:basedOn w:val="a"/>
    <w:qFormat/>
  </w:style>
  <w:style w:type="paragraph" w:customStyle="1" w:styleId="user1">
    <w:name w:val="Содержимое врезки (user)"/>
    <w:basedOn w:val="a"/>
    <w:qFormat/>
  </w:style>
  <w:style w:type="numbering" w:customStyle="1" w:styleId="af1">
    <w:name w:val="Без списка"/>
    <w:uiPriority w:val="99"/>
    <w:semiHidden/>
    <w:unhideWhenUsed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319</Words>
  <Characters>1822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Куварина Ольга Александровна</dc:creator>
  <dc:description/>
  <cp:lastModifiedBy>Чепурнова Оксана Валерьевна</cp:lastModifiedBy>
  <cp:revision>24</cp:revision>
  <cp:lastPrinted>2026-05-21T12:36:00Z</cp:lastPrinted>
  <dcterms:created xsi:type="dcterms:W3CDTF">2022-04-12T05:43:00Z</dcterms:created>
  <dcterms:modified xsi:type="dcterms:W3CDTF">2026-06-02T02:38:00Z</dcterms:modified>
  <dc:language>ru-RU</dc:language>
</cp:coreProperties>
</file>